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8294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HPT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80740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82945">
        <w:rPr>
          <w:rFonts w:ascii="Arial" w:hAnsi="Arial" w:cs="Arial"/>
          <w:sz w:val="20"/>
          <w:szCs w:val="20"/>
        </w:rPr>
        <w:t>29</w:t>
      </w:r>
      <w:r w:rsidR="00D77DC0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82945" w:rsidRPr="00082945">
        <w:rPr>
          <w:rFonts w:ascii="Arial" w:hAnsi="Arial" w:cs="Arial"/>
          <w:sz w:val="20"/>
          <w:szCs w:val="20"/>
        </w:rPr>
        <w:t>HPT Vietnam Corporation</w:t>
      </w:r>
      <w:r w:rsidR="0008294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F6037" w:rsidRPr="000F6037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C1D5F" w:rsidRDefault="007C1D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082945" w:rsidRPr="00082945">
        <w:rPr>
          <w:rFonts w:ascii="Arial" w:hAnsi="Arial" w:cs="Arial"/>
          <w:sz w:val="20"/>
          <w:szCs w:val="20"/>
        </w:rPr>
        <w:t xml:space="preserve"> Board of Directors</w:t>
      </w:r>
      <w:r>
        <w:rPr>
          <w:rFonts w:ascii="Arial" w:hAnsi="Arial" w:cs="Arial"/>
          <w:sz w:val="20"/>
          <w:szCs w:val="20"/>
        </w:rPr>
        <w:t xml:space="preserve"> of </w:t>
      </w:r>
      <w:r w:rsidRPr="00082945">
        <w:rPr>
          <w:rFonts w:ascii="Arial" w:hAnsi="Arial" w:cs="Arial"/>
          <w:sz w:val="20"/>
          <w:szCs w:val="20"/>
        </w:rPr>
        <w:t>HPT Vietnam Corporation</w:t>
      </w:r>
      <w:r w:rsidR="00082945" w:rsidRPr="00082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 the plan on 2019 cash dividend payment and 2019 dividend payment by shares</w:t>
      </w:r>
      <w:r w:rsidR="00082945" w:rsidRPr="00082945">
        <w:rPr>
          <w:rFonts w:ascii="Arial" w:hAnsi="Arial" w:cs="Arial"/>
          <w:sz w:val="20"/>
          <w:szCs w:val="20"/>
        </w:rPr>
        <w:t xml:space="preserve"> as follows:</w:t>
      </w:r>
      <w:bookmarkStart w:id="0" w:name="_GoBack"/>
      <w:bookmarkEnd w:id="0"/>
    </w:p>
    <w:p w:rsidR="008C0017" w:rsidRDefault="007C1D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2019 cash dividend payment </w:t>
      </w:r>
    </w:p>
    <w:p w:rsidR="008C0017" w:rsidRDefault="008C00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The dividend rate in 2019</w:t>
      </w:r>
      <w:r w:rsidR="00082945" w:rsidRPr="00082945">
        <w:rPr>
          <w:rFonts w:ascii="Arial" w:hAnsi="Arial" w:cs="Arial"/>
          <w:sz w:val="20"/>
          <w:szCs w:val="20"/>
        </w:rPr>
        <w:t xml:space="preserve">: 5%/ </w:t>
      </w:r>
      <w:r>
        <w:rPr>
          <w:rFonts w:ascii="Arial" w:hAnsi="Arial" w:cs="Arial"/>
          <w:sz w:val="20"/>
          <w:szCs w:val="20"/>
        </w:rPr>
        <w:t>par value of share (01 share receives</w:t>
      </w:r>
      <w:r w:rsidR="00082945" w:rsidRPr="00082945">
        <w:rPr>
          <w:rFonts w:ascii="Arial" w:hAnsi="Arial" w:cs="Arial"/>
          <w:sz w:val="20"/>
          <w:szCs w:val="20"/>
        </w:rPr>
        <w:t xml:space="preserve"> VND 500) </w:t>
      </w:r>
    </w:p>
    <w:p w:rsidR="008C0017" w:rsidRDefault="00082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945">
        <w:rPr>
          <w:rFonts w:ascii="Arial" w:hAnsi="Arial" w:cs="Arial"/>
          <w:sz w:val="20"/>
          <w:szCs w:val="20"/>
        </w:rPr>
        <w:t xml:space="preserve">2. Payment method: In cash </w:t>
      </w:r>
    </w:p>
    <w:p w:rsidR="008C0017" w:rsidRDefault="00082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945">
        <w:rPr>
          <w:rFonts w:ascii="Arial" w:hAnsi="Arial" w:cs="Arial"/>
          <w:sz w:val="20"/>
          <w:szCs w:val="20"/>
        </w:rPr>
        <w:t xml:space="preserve">3. </w:t>
      </w:r>
      <w:r w:rsidR="008C0017">
        <w:rPr>
          <w:rFonts w:ascii="Arial" w:hAnsi="Arial" w:cs="Arial"/>
          <w:sz w:val="20"/>
          <w:szCs w:val="20"/>
        </w:rPr>
        <w:t>Record date: 06 Jul 2020</w:t>
      </w:r>
    </w:p>
    <w:p w:rsidR="00FF715A" w:rsidRDefault="00FF715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Payment time: 20 Jul 2020</w:t>
      </w:r>
    </w:p>
    <w:p w:rsidR="00FF715A" w:rsidRDefault="00082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945">
        <w:rPr>
          <w:rFonts w:ascii="Arial" w:hAnsi="Arial" w:cs="Arial"/>
          <w:sz w:val="20"/>
          <w:szCs w:val="20"/>
        </w:rPr>
        <w:t xml:space="preserve">* </w:t>
      </w:r>
      <w:r w:rsidR="00FF715A">
        <w:rPr>
          <w:rFonts w:ascii="Arial" w:hAnsi="Arial" w:cs="Arial"/>
          <w:sz w:val="20"/>
          <w:szCs w:val="20"/>
        </w:rPr>
        <w:t>2019 d</w:t>
      </w:r>
      <w:r w:rsidRPr="00082945">
        <w:rPr>
          <w:rFonts w:ascii="Arial" w:hAnsi="Arial" w:cs="Arial"/>
          <w:sz w:val="20"/>
          <w:szCs w:val="20"/>
        </w:rPr>
        <w:t xml:space="preserve">ividend payment </w:t>
      </w:r>
      <w:r w:rsidR="00FF715A">
        <w:rPr>
          <w:rFonts w:ascii="Arial" w:hAnsi="Arial" w:cs="Arial"/>
          <w:sz w:val="20"/>
          <w:szCs w:val="20"/>
        </w:rPr>
        <w:t>by shares</w:t>
      </w:r>
    </w:p>
    <w:p w:rsidR="00A0094D" w:rsidRDefault="00FF715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Stock name: Share</w:t>
      </w:r>
      <w:r w:rsidR="00082945" w:rsidRPr="00082945">
        <w:rPr>
          <w:rFonts w:ascii="Arial" w:hAnsi="Arial" w:cs="Arial"/>
          <w:sz w:val="20"/>
          <w:szCs w:val="20"/>
        </w:rPr>
        <w:t xml:space="preserve"> of </w:t>
      </w:r>
      <w:r w:rsidRPr="00FF715A">
        <w:rPr>
          <w:rFonts w:ascii="Arial" w:hAnsi="Arial" w:cs="Arial"/>
          <w:sz w:val="20"/>
          <w:szCs w:val="20"/>
        </w:rPr>
        <w:t>HPT Vietnam Corporation</w:t>
      </w:r>
      <w:r w:rsidR="00082945" w:rsidRPr="00082945">
        <w:rPr>
          <w:rFonts w:ascii="Arial" w:hAnsi="Arial" w:cs="Arial"/>
          <w:sz w:val="20"/>
          <w:szCs w:val="20"/>
        </w:rPr>
        <w:t xml:space="preserve"> </w:t>
      </w:r>
    </w:p>
    <w:p w:rsidR="00A0094D" w:rsidRDefault="00A0094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Stock code: HPT- UPCOM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</w:t>
      </w:r>
      <w:r w:rsidR="00082945" w:rsidRPr="00082945">
        <w:rPr>
          <w:rFonts w:ascii="Arial" w:hAnsi="Arial" w:cs="Arial"/>
          <w:sz w:val="20"/>
          <w:szCs w:val="20"/>
        </w:rPr>
        <w:t xml:space="preserve"> value of stock: </w:t>
      </w:r>
      <w:r>
        <w:rPr>
          <w:rFonts w:ascii="Arial" w:hAnsi="Arial" w:cs="Arial"/>
          <w:sz w:val="20"/>
          <w:szCs w:val="20"/>
        </w:rPr>
        <w:t xml:space="preserve">VND 10,000 </w:t>
      </w:r>
    </w:p>
    <w:p w:rsidR="00A0094D" w:rsidRDefault="00082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945">
        <w:rPr>
          <w:rFonts w:ascii="Arial" w:hAnsi="Arial" w:cs="Arial"/>
          <w:sz w:val="20"/>
          <w:szCs w:val="20"/>
        </w:rPr>
        <w:t xml:space="preserve">3. Type of </w:t>
      </w:r>
      <w:r w:rsidR="00A0094D">
        <w:rPr>
          <w:rFonts w:ascii="Arial" w:hAnsi="Arial" w:cs="Arial"/>
          <w:sz w:val="20"/>
          <w:szCs w:val="20"/>
        </w:rPr>
        <w:t>stock</w:t>
      </w:r>
      <w:r w:rsidRPr="00082945">
        <w:rPr>
          <w:rFonts w:ascii="Arial" w:hAnsi="Arial" w:cs="Arial"/>
          <w:sz w:val="20"/>
          <w:szCs w:val="20"/>
        </w:rPr>
        <w:t>: common share</w:t>
      </w:r>
    </w:p>
    <w:p w:rsidR="00A0094D" w:rsidRDefault="00A0094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Issue</w:t>
      </w:r>
      <w:r w:rsidR="00082945" w:rsidRPr="00082945">
        <w:rPr>
          <w:rFonts w:ascii="Arial" w:hAnsi="Arial" w:cs="Arial"/>
          <w:sz w:val="20"/>
          <w:szCs w:val="20"/>
        </w:rPr>
        <w:t xml:space="preserve"> method: issuing shares </w:t>
      </w:r>
      <w:r>
        <w:rPr>
          <w:rFonts w:ascii="Arial" w:hAnsi="Arial" w:cs="Arial"/>
          <w:sz w:val="20"/>
          <w:szCs w:val="20"/>
        </w:rPr>
        <w:t xml:space="preserve">for 2019 dividend payment </w:t>
      </w:r>
    </w:p>
    <w:p w:rsidR="00077E47" w:rsidRDefault="00A0094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Issue rate: 10% (Shareholder</w:t>
      </w:r>
      <w:r w:rsidR="00077E47">
        <w:rPr>
          <w:rFonts w:ascii="Arial" w:hAnsi="Arial" w:cs="Arial"/>
          <w:sz w:val="20"/>
          <w:szCs w:val="20"/>
        </w:rPr>
        <w:t xml:space="preserve"> who owns 100 shares</w:t>
      </w:r>
      <w:r w:rsidR="00082945" w:rsidRPr="00082945">
        <w:rPr>
          <w:rFonts w:ascii="Arial" w:hAnsi="Arial" w:cs="Arial"/>
          <w:sz w:val="20"/>
          <w:szCs w:val="20"/>
        </w:rPr>
        <w:t xml:space="preserve"> receive</w:t>
      </w:r>
      <w:r w:rsidR="00077E47">
        <w:rPr>
          <w:rFonts w:ascii="Arial" w:hAnsi="Arial" w:cs="Arial"/>
          <w:sz w:val="20"/>
          <w:szCs w:val="20"/>
        </w:rPr>
        <w:t>s</w:t>
      </w:r>
      <w:r w:rsidR="00082945" w:rsidRPr="00082945">
        <w:rPr>
          <w:rFonts w:ascii="Arial" w:hAnsi="Arial" w:cs="Arial"/>
          <w:sz w:val="20"/>
          <w:szCs w:val="20"/>
        </w:rPr>
        <w:t xml:space="preserve"> 10 new shares) </w:t>
      </w:r>
    </w:p>
    <w:p w:rsidR="0095043D" w:rsidRDefault="00082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945">
        <w:rPr>
          <w:rFonts w:ascii="Arial" w:hAnsi="Arial" w:cs="Arial"/>
          <w:sz w:val="20"/>
          <w:szCs w:val="20"/>
        </w:rPr>
        <w:t xml:space="preserve">6. </w:t>
      </w:r>
      <w:r w:rsidR="00077E47">
        <w:rPr>
          <w:rFonts w:ascii="Arial" w:hAnsi="Arial" w:cs="Arial"/>
          <w:sz w:val="20"/>
          <w:szCs w:val="20"/>
        </w:rPr>
        <w:t>Eligible buyer</w:t>
      </w:r>
      <w:r w:rsidRPr="00082945">
        <w:rPr>
          <w:rFonts w:ascii="Arial" w:hAnsi="Arial" w:cs="Arial"/>
          <w:sz w:val="20"/>
          <w:szCs w:val="20"/>
        </w:rPr>
        <w:t xml:space="preserve">: The existing shareholder named in the list </w:t>
      </w:r>
      <w:r w:rsidR="00077E47">
        <w:rPr>
          <w:rFonts w:ascii="Arial" w:hAnsi="Arial" w:cs="Arial"/>
          <w:sz w:val="20"/>
          <w:szCs w:val="20"/>
        </w:rPr>
        <w:t>on record date of</w:t>
      </w:r>
      <w:r w:rsidRPr="00082945">
        <w:rPr>
          <w:rFonts w:ascii="Arial" w:hAnsi="Arial" w:cs="Arial"/>
          <w:sz w:val="20"/>
          <w:szCs w:val="20"/>
        </w:rPr>
        <w:t xml:space="preserve"> the list of shar</w:t>
      </w:r>
      <w:r w:rsidR="00077E47">
        <w:rPr>
          <w:rFonts w:ascii="Arial" w:hAnsi="Arial" w:cs="Arial"/>
          <w:sz w:val="20"/>
          <w:szCs w:val="20"/>
        </w:rPr>
        <w:t>eholders to exercise the right of receiving</w:t>
      </w:r>
      <w:r w:rsidR="0095043D">
        <w:rPr>
          <w:rFonts w:ascii="Arial" w:hAnsi="Arial" w:cs="Arial"/>
          <w:sz w:val="20"/>
          <w:szCs w:val="20"/>
        </w:rPr>
        <w:t xml:space="preserve"> share dividend (t</w:t>
      </w:r>
      <w:r w:rsidRPr="00082945">
        <w:rPr>
          <w:rFonts w:ascii="Arial" w:hAnsi="Arial" w:cs="Arial"/>
          <w:sz w:val="20"/>
          <w:szCs w:val="20"/>
        </w:rPr>
        <w:t>reasury shares (if any) will not</w:t>
      </w:r>
      <w:r w:rsidR="0095043D">
        <w:rPr>
          <w:rFonts w:ascii="Arial" w:hAnsi="Arial" w:cs="Arial"/>
          <w:sz w:val="20"/>
          <w:szCs w:val="20"/>
        </w:rPr>
        <w:t xml:space="preserve"> be</w:t>
      </w:r>
      <w:r w:rsidRPr="00082945">
        <w:rPr>
          <w:rFonts w:ascii="Arial" w:hAnsi="Arial" w:cs="Arial"/>
          <w:sz w:val="20"/>
          <w:szCs w:val="20"/>
        </w:rPr>
        <w:t xml:space="preserve"> </w:t>
      </w:r>
      <w:r w:rsidR="0095043D">
        <w:rPr>
          <w:rFonts w:ascii="Arial" w:hAnsi="Arial" w:cs="Arial"/>
          <w:sz w:val="20"/>
          <w:szCs w:val="20"/>
        </w:rPr>
        <w:t>for right exercise</w:t>
      </w:r>
      <w:r w:rsidRPr="00082945">
        <w:rPr>
          <w:rFonts w:ascii="Arial" w:hAnsi="Arial" w:cs="Arial"/>
          <w:sz w:val="20"/>
          <w:szCs w:val="20"/>
        </w:rPr>
        <w:t>)</w:t>
      </w:r>
      <w:r w:rsidR="0095043D">
        <w:rPr>
          <w:rFonts w:ascii="Arial" w:hAnsi="Arial" w:cs="Arial"/>
          <w:sz w:val="20"/>
          <w:szCs w:val="20"/>
        </w:rPr>
        <w:t>)</w:t>
      </w:r>
    </w:p>
    <w:p w:rsidR="007A2537" w:rsidRDefault="00082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945">
        <w:rPr>
          <w:rFonts w:ascii="Arial" w:hAnsi="Arial" w:cs="Arial"/>
          <w:sz w:val="20"/>
          <w:szCs w:val="20"/>
        </w:rPr>
        <w:t xml:space="preserve">7. </w:t>
      </w:r>
      <w:r w:rsidR="0095043D">
        <w:rPr>
          <w:rFonts w:ascii="Arial" w:hAnsi="Arial" w:cs="Arial"/>
          <w:sz w:val="20"/>
          <w:szCs w:val="20"/>
        </w:rPr>
        <w:t>Capital res</w:t>
      </w:r>
      <w:r w:rsidRPr="00082945">
        <w:rPr>
          <w:rFonts w:ascii="Arial" w:hAnsi="Arial" w:cs="Arial"/>
          <w:sz w:val="20"/>
          <w:szCs w:val="20"/>
        </w:rPr>
        <w:t>ource</w:t>
      </w:r>
      <w:r w:rsidR="0095043D">
        <w:rPr>
          <w:rFonts w:ascii="Arial" w:hAnsi="Arial" w:cs="Arial"/>
          <w:sz w:val="20"/>
          <w:szCs w:val="20"/>
        </w:rPr>
        <w:t>s for</w:t>
      </w:r>
      <w:r w:rsidRPr="00082945">
        <w:rPr>
          <w:rFonts w:ascii="Arial" w:hAnsi="Arial" w:cs="Arial"/>
          <w:sz w:val="20"/>
          <w:szCs w:val="20"/>
        </w:rPr>
        <w:t xml:space="preserve"> issuing shares </w:t>
      </w:r>
      <w:r w:rsidR="007A2537">
        <w:rPr>
          <w:rFonts w:ascii="Arial" w:hAnsi="Arial" w:cs="Arial"/>
          <w:sz w:val="20"/>
          <w:szCs w:val="20"/>
        </w:rPr>
        <w:t>for dividend payment</w:t>
      </w:r>
      <w:r w:rsidRPr="00082945">
        <w:rPr>
          <w:rFonts w:ascii="Arial" w:hAnsi="Arial" w:cs="Arial"/>
          <w:sz w:val="20"/>
          <w:szCs w:val="20"/>
        </w:rPr>
        <w:t>: from undistributed</w:t>
      </w:r>
      <w:r w:rsidR="007A2537">
        <w:rPr>
          <w:rFonts w:ascii="Arial" w:hAnsi="Arial" w:cs="Arial"/>
          <w:sz w:val="20"/>
          <w:szCs w:val="20"/>
        </w:rPr>
        <w:t xml:space="preserve"> accumulated after-tax profit</w:t>
      </w:r>
    </w:p>
    <w:p w:rsidR="007A2537" w:rsidRDefault="00082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945">
        <w:rPr>
          <w:rFonts w:ascii="Arial" w:hAnsi="Arial" w:cs="Arial"/>
          <w:sz w:val="20"/>
          <w:szCs w:val="20"/>
        </w:rPr>
        <w:t xml:space="preserve">8. </w:t>
      </w:r>
      <w:r w:rsidR="007A2537">
        <w:rPr>
          <w:rFonts w:ascii="Arial" w:hAnsi="Arial" w:cs="Arial"/>
          <w:sz w:val="20"/>
          <w:szCs w:val="20"/>
        </w:rPr>
        <w:t>Record date</w:t>
      </w:r>
      <w:r w:rsidRPr="00082945">
        <w:rPr>
          <w:rFonts w:ascii="Arial" w:hAnsi="Arial" w:cs="Arial"/>
          <w:sz w:val="20"/>
          <w:szCs w:val="20"/>
        </w:rPr>
        <w:t xml:space="preserve">: July 6, 2020 </w:t>
      </w:r>
    </w:p>
    <w:p w:rsidR="005D6B9E" w:rsidRDefault="007A25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082945" w:rsidRPr="00082945">
        <w:rPr>
          <w:rFonts w:ascii="Arial" w:hAnsi="Arial" w:cs="Arial"/>
          <w:sz w:val="20"/>
          <w:szCs w:val="20"/>
        </w:rPr>
        <w:t>Expected additional shares</w:t>
      </w:r>
      <w:r>
        <w:rPr>
          <w:rFonts w:ascii="Arial" w:hAnsi="Arial" w:cs="Arial"/>
          <w:sz w:val="20"/>
          <w:szCs w:val="20"/>
        </w:rPr>
        <w:t xml:space="preserve"> to be</w:t>
      </w:r>
      <w:r w:rsidR="00082945" w:rsidRPr="00082945">
        <w:rPr>
          <w:rFonts w:ascii="Arial" w:hAnsi="Arial" w:cs="Arial"/>
          <w:sz w:val="20"/>
          <w:szCs w:val="20"/>
        </w:rPr>
        <w:t xml:space="preserve"> issued: 737,922 shares </w:t>
      </w:r>
    </w:p>
    <w:p w:rsidR="005D6B9E" w:rsidRDefault="00082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945">
        <w:rPr>
          <w:rFonts w:ascii="Arial" w:hAnsi="Arial" w:cs="Arial"/>
          <w:sz w:val="20"/>
          <w:szCs w:val="20"/>
        </w:rPr>
        <w:t xml:space="preserve">10. Expected additional charter capital: </w:t>
      </w:r>
      <w:r w:rsidR="005D6B9E" w:rsidRPr="00082945">
        <w:rPr>
          <w:rFonts w:ascii="Arial" w:hAnsi="Arial" w:cs="Arial"/>
          <w:sz w:val="20"/>
          <w:szCs w:val="20"/>
        </w:rPr>
        <w:t>VND</w:t>
      </w:r>
      <w:r w:rsidR="005D6B9E" w:rsidRPr="00082945">
        <w:rPr>
          <w:rFonts w:ascii="Arial" w:hAnsi="Arial" w:cs="Arial"/>
          <w:sz w:val="20"/>
          <w:szCs w:val="20"/>
        </w:rPr>
        <w:t xml:space="preserve"> </w:t>
      </w:r>
      <w:r w:rsidRPr="00082945">
        <w:rPr>
          <w:rFonts w:ascii="Arial" w:hAnsi="Arial" w:cs="Arial"/>
          <w:sz w:val="20"/>
          <w:szCs w:val="20"/>
        </w:rPr>
        <w:t xml:space="preserve">7,379,220,000 </w:t>
      </w:r>
    </w:p>
    <w:p w:rsidR="005D6B9E" w:rsidRDefault="00082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945">
        <w:rPr>
          <w:rFonts w:ascii="Arial" w:hAnsi="Arial" w:cs="Arial"/>
          <w:sz w:val="20"/>
          <w:szCs w:val="20"/>
        </w:rPr>
        <w:t xml:space="preserve">11. </w:t>
      </w:r>
      <w:r w:rsidR="005D6B9E">
        <w:rPr>
          <w:rFonts w:ascii="Arial" w:hAnsi="Arial" w:cs="Arial"/>
          <w:sz w:val="20"/>
          <w:szCs w:val="20"/>
        </w:rPr>
        <w:t>E</w:t>
      </w:r>
      <w:r w:rsidR="005D6B9E" w:rsidRPr="00082945">
        <w:rPr>
          <w:rFonts w:ascii="Arial" w:hAnsi="Arial" w:cs="Arial"/>
          <w:sz w:val="20"/>
          <w:szCs w:val="20"/>
        </w:rPr>
        <w:t>xpected</w:t>
      </w:r>
      <w:r w:rsidR="005D6B9E" w:rsidRPr="00082945">
        <w:rPr>
          <w:rFonts w:ascii="Arial" w:hAnsi="Arial" w:cs="Arial"/>
          <w:sz w:val="20"/>
          <w:szCs w:val="20"/>
        </w:rPr>
        <w:t xml:space="preserve"> </w:t>
      </w:r>
      <w:r w:rsidR="005D6B9E">
        <w:rPr>
          <w:rFonts w:ascii="Arial" w:hAnsi="Arial" w:cs="Arial"/>
          <w:sz w:val="20"/>
          <w:szCs w:val="20"/>
        </w:rPr>
        <w:t>c</w:t>
      </w:r>
      <w:r w:rsidRPr="00082945">
        <w:rPr>
          <w:rFonts w:ascii="Arial" w:hAnsi="Arial" w:cs="Arial"/>
          <w:sz w:val="20"/>
          <w:szCs w:val="20"/>
        </w:rPr>
        <w:t xml:space="preserve">harter capital after issuance: </w:t>
      </w:r>
      <w:r w:rsidR="005D6B9E" w:rsidRPr="00082945">
        <w:rPr>
          <w:rFonts w:ascii="Arial" w:hAnsi="Arial" w:cs="Arial"/>
          <w:sz w:val="20"/>
          <w:szCs w:val="20"/>
        </w:rPr>
        <w:t>VND</w:t>
      </w:r>
      <w:r w:rsidR="005D6B9E" w:rsidRPr="00082945">
        <w:rPr>
          <w:rFonts w:ascii="Arial" w:hAnsi="Arial" w:cs="Arial"/>
          <w:sz w:val="20"/>
          <w:szCs w:val="20"/>
        </w:rPr>
        <w:t xml:space="preserve"> </w:t>
      </w:r>
      <w:r w:rsidRPr="00082945">
        <w:rPr>
          <w:rFonts w:ascii="Arial" w:hAnsi="Arial" w:cs="Arial"/>
          <w:sz w:val="20"/>
          <w:szCs w:val="20"/>
        </w:rPr>
        <w:t xml:space="preserve">82,728,100,000 </w:t>
      </w:r>
    </w:p>
    <w:p w:rsidR="00082945" w:rsidRDefault="0008294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945">
        <w:rPr>
          <w:rFonts w:ascii="Arial" w:hAnsi="Arial" w:cs="Arial"/>
          <w:sz w:val="20"/>
          <w:szCs w:val="20"/>
        </w:rPr>
        <w:t xml:space="preserve">12. Plan for rounding and dealing with odd shares: arising odd shares (if any) will be rounded </w:t>
      </w:r>
      <w:r w:rsidR="00E7176E">
        <w:rPr>
          <w:rFonts w:ascii="Arial" w:hAnsi="Arial" w:cs="Arial"/>
          <w:sz w:val="20"/>
          <w:szCs w:val="20"/>
        </w:rPr>
        <w:t>down to the unit digit</w:t>
      </w:r>
      <w:r w:rsidRPr="00082945">
        <w:rPr>
          <w:rFonts w:ascii="Arial" w:hAnsi="Arial" w:cs="Arial"/>
          <w:sz w:val="20"/>
          <w:szCs w:val="20"/>
        </w:rPr>
        <w:t xml:space="preserve"> to ensure </w:t>
      </w:r>
      <w:r w:rsidR="00E7176E">
        <w:rPr>
          <w:rFonts w:ascii="Arial" w:hAnsi="Arial" w:cs="Arial"/>
          <w:sz w:val="20"/>
          <w:szCs w:val="20"/>
        </w:rPr>
        <w:t>not exceed</w:t>
      </w:r>
      <w:r w:rsidR="00CF6B1E">
        <w:rPr>
          <w:rFonts w:ascii="Arial" w:hAnsi="Arial" w:cs="Arial"/>
          <w:sz w:val="20"/>
          <w:szCs w:val="20"/>
        </w:rPr>
        <w:t>ing</w:t>
      </w:r>
      <w:r w:rsidR="00E7176E">
        <w:rPr>
          <w:rFonts w:ascii="Arial" w:hAnsi="Arial" w:cs="Arial"/>
          <w:sz w:val="20"/>
          <w:szCs w:val="20"/>
        </w:rPr>
        <w:t xml:space="preserve"> the </w:t>
      </w:r>
      <w:r w:rsidR="00CF6B1E">
        <w:rPr>
          <w:rFonts w:ascii="Arial" w:hAnsi="Arial" w:cs="Arial"/>
          <w:sz w:val="20"/>
          <w:szCs w:val="20"/>
        </w:rPr>
        <w:t>issued number.</w:t>
      </w:r>
      <w:r w:rsidRPr="00082945">
        <w:rPr>
          <w:rFonts w:ascii="Arial" w:hAnsi="Arial" w:cs="Arial"/>
          <w:sz w:val="20"/>
          <w:szCs w:val="20"/>
        </w:rPr>
        <w:t xml:space="preserve"> The </w:t>
      </w:r>
      <w:r w:rsidR="00CF6B1E">
        <w:rPr>
          <w:rFonts w:ascii="Arial" w:hAnsi="Arial" w:cs="Arial"/>
          <w:sz w:val="20"/>
          <w:szCs w:val="20"/>
        </w:rPr>
        <w:t>decimal</w:t>
      </w:r>
      <w:r w:rsidRPr="00082945">
        <w:rPr>
          <w:rFonts w:ascii="Arial" w:hAnsi="Arial" w:cs="Arial"/>
          <w:sz w:val="20"/>
          <w:szCs w:val="20"/>
        </w:rPr>
        <w:t xml:space="preserve"> (if any) will be </w:t>
      </w:r>
      <w:r w:rsidR="00CF6B1E">
        <w:rPr>
          <w:rFonts w:ascii="Arial" w:hAnsi="Arial" w:cs="Arial"/>
          <w:sz w:val="20"/>
          <w:szCs w:val="20"/>
        </w:rPr>
        <w:t>written back</w:t>
      </w:r>
      <w:r w:rsidR="006B62A7">
        <w:rPr>
          <w:rFonts w:ascii="Arial" w:hAnsi="Arial" w:cs="Arial"/>
          <w:sz w:val="20"/>
          <w:szCs w:val="20"/>
        </w:rPr>
        <w:t xml:space="preserve"> to the share capital surplus</w:t>
      </w:r>
    </w:p>
    <w:sectPr w:rsidR="00082945" w:rsidSect="006B62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1961"/>
    <w:rsid w:val="00022849"/>
    <w:rsid w:val="000266C2"/>
    <w:rsid w:val="000365C1"/>
    <w:rsid w:val="00041D21"/>
    <w:rsid w:val="00050E3D"/>
    <w:rsid w:val="000603A9"/>
    <w:rsid w:val="00066EE1"/>
    <w:rsid w:val="00075754"/>
    <w:rsid w:val="00077E47"/>
    <w:rsid w:val="0008281F"/>
    <w:rsid w:val="00082945"/>
    <w:rsid w:val="00083EB7"/>
    <w:rsid w:val="00085176"/>
    <w:rsid w:val="00085D47"/>
    <w:rsid w:val="000935E2"/>
    <w:rsid w:val="00093CD4"/>
    <w:rsid w:val="000A0B74"/>
    <w:rsid w:val="000A1C32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6037"/>
    <w:rsid w:val="000F76F2"/>
    <w:rsid w:val="001110AA"/>
    <w:rsid w:val="00114F74"/>
    <w:rsid w:val="00132EC5"/>
    <w:rsid w:val="00132FA0"/>
    <w:rsid w:val="0013539B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027"/>
    <w:rsid w:val="00203661"/>
    <w:rsid w:val="00207AF4"/>
    <w:rsid w:val="002164D2"/>
    <w:rsid w:val="00230BF1"/>
    <w:rsid w:val="002319EE"/>
    <w:rsid w:val="002357C4"/>
    <w:rsid w:val="00240C3C"/>
    <w:rsid w:val="0025148F"/>
    <w:rsid w:val="00252CE0"/>
    <w:rsid w:val="00254EA2"/>
    <w:rsid w:val="0026535B"/>
    <w:rsid w:val="002701FB"/>
    <w:rsid w:val="00270474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463D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423FF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D79F9"/>
    <w:rsid w:val="003E60D6"/>
    <w:rsid w:val="003E73CA"/>
    <w:rsid w:val="00403A9C"/>
    <w:rsid w:val="004115D9"/>
    <w:rsid w:val="00411E47"/>
    <w:rsid w:val="00420169"/>
    <w:rsid w:val="0042201B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4380"/>
    <w:rsid w:val="004A554D"/>
    <w:rsid w:val="004B2BA6"/>
    <w:rsid w:val="004B4798"/>
    <w:rsid w:val="004C136C"/>
    <w:rsid w:val="004C144F"/>
    <w:rsid w:val="004E4C16"/>
    <w:rsid w:val="00503DD6"/>
    <w:rsid w:val="00505065"/>
    <w:rsid w:val="005102D0"/>
    <w:rsid w:val="0052379D"/>
    <w:rsid w:val="0052508C"/>
    <w:rsid w:val="0052657B"/>
    <w:rsid w:val="0053093D"/>
    <w:rsid w:val="005324AB"/>
    <w:rsid w:val="0055067A"/>
    <w:rsid w:val="005511CA"/>
    <w:rsid w:val="00551A83"/>
    <w:rsid w:val="005610CB"/>
    <w:rsid w:val="00576A91"/>
    <w:rsid w:val="00584222"/>
    <w:rsid w:val="0058434E"/>
    <w:rsid w:val="00585B82"/>
    <w:rsid w:val="00586368"/>
    <w:rsid w:val="005906FC"/>
    <w:rsid w:val="00590F17"/>
    <w:rsid w:val="005970B6"/>
    <w:rsid w:val="005A0BA8"/>
    <w:rsid w:val="005B1FDE"/>
    <w:rsid w:val="005B40E5"/>
    <w:rsid w:val="005C57E0"/>
    <w:rsid w:val="005D6B9E"/>
    <w:rsid w:val="005D7F9C"/>
    <w:rsid w:val="005E7B32"/>
    <w:rsid w:val="005F7ED5"/>
    <w:rsid w:val="006000D8"/>
    <w:rsid w:val="0063035E"/>
    <w:rsid w:val="0063581B"/>
    <w:rsid w:val="006374A1"/>
    <w:rsid w:val="00642CD0"/>
    <w:rsid w:val="00644696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B62A7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51DE"/>
    <w:rsid w:val="00757555"/>
    <w:rsid w:val="00766104"/>
    <w:rsid w:val="00772054"/>
    <w:rsid w:val="0077456B"/>
    <w:rsid w:val="00781EB4"/>
    <w:rsid w:val="00795480"/>
    <w:rsid w:val="007A072F"/>
    <w:rsid w:val="007A0E8F"/>
    <w:rsid w:val="007A1FCC"/>
    <w:rsid w:val="007A2537"/>
    <w:rsid w:val="007B07E7"/>
    <w:rsid w:val="007B3E94"/>
    <w:rsid w:val="007B558D"/>
    <w:rsid w:val="007B5B0B"/>
    <w:rsid w:val="007B5ED0"/>
    <w:rsid w:val="007B67AF"/>
    <w:rsid w:val="007C13C6"/>
    <w:rsid w:val="007C1D5F"/>
    <w:rsid w:val="007C2C64"/>
    <w:rsid w:val="007C54F1"/>
    <w:rsid w:val="007D0E0A"/>
    <w:rsid w:val="007E003D"/>
    <w:rsid w:val="007E0993"/>
    <w:rsid w:val="007E0A58"/>
    <w:rsid w:val="007E0B9A"/>
    <w:rsid w:val="007F298E"/>
    <w:rsid w:val="007F2D1F"/>
    <w:rsid w:val="007F3E9A"/>
    <w:rsid w:val="007F7BBC"/>
    <w:rsid w:val="0080000E"/>
    <w:rsid w:val="00802B62"/>
    <w:rsid w:val="00806776"/>
    <w:rsid w:val="00807401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2F4B"/>
    <w:rsid w:val="00853748"/>
    <w:rsid w:val="008544C2"/>
    <w:rsid w:val="008647D9"/>
    <w:rsid w:val="00872E16"/>
    <w:rsid w:val="00882307"/>
    <w:rsid w:val="00884B9C"/>
    <w:rsid w:val="00887454"/>
    <w:rsid w:val="008C0017"/>
    <w:rsid w:val="008C0872"/>
    <w:rsid w:val="008C33A0"/>
    <w:rsid w:val="008C7A42"/>
    <w:rsid w:val="008D12EB"/>
    <w:rsid w:val="008F1C6C"/>
    <w:rsid w:val="009003E7"/>
    <w:rsid w:val="00904633"/>
    <w:rsid w:val="00912FBD"/>
    <w:rsid w:val="009232CB"/>
    <w:rsid w:val="00923467"/>
    <w:rsid w:val="00934FC0"/>
    <w:rsid w:val="00937D79"/>
    <w:rsid w:val="009410B8"/>
    <w:rsid w:val="009464B8"/>
    <w:rsid w:val="0095043D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094D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C02348"/>
    <w:rsid w:val="00C219CA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66C1"/>
    <w:rsid w:val="00CF6B1E"/>
    <w:rsid w:val="00CF7CE6"/>
    <w:rsid w:val="00D02E12"/>
    <w:rsid w:val="00D07AEF"/>
    <w:rsid w:val="00D10888"/>
    <w:rsid w:val="00D322FB"/>
    <w:rsid w:val="00D362B6"/>
    <w:rsid w:val="00D370AF"/>
    <w:rsid w:val="00D415AC"/>
    <w:rsid w:val="00D42678"/>
    <w:rsid w:val="00D52C26"/>
    <w:rsid w:val="00D53360"/>
    <w:rsid w:val="00D55D74"/>
    <w:rsid w:val="00D570D1"/>
    <w:rsid w:val="00D651E1"/>
    <w:rsid w:val="00D74339"/>
    <w:rsid w:val="00D749F4"/>
    <w:rsid w:val="00D77DC0"/>
    <w:rsid w:val="00D77F89"/>
    <w:rsid w:val="00D8075D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D7259"/>
    <w:rsid w:val="00DE5C3C"/>
    <w:rsid w:val="00DE63F0"/>
    <w:rsid w:val="00DF4180"/>
    <w:rsid w:val="00DF739B"/>
    <w:rsid w:val="00E10E53"/>
    <w:rsid w:val="00E130EE"/>
    <w:rsid w:val="00E13C77"/>
    <w:rsid w:val="00E17016"/>
    <w:rsid w:val="00E20A0F"/>
    <w:rsid w:val="00E20E2B"/>
    <w:rsid w:val="00E24F0A"/>
    <w:rsid w:val="00E27923"/>
    <w:rsid w:val="00E35884"/>
    <w:rsid w:val="00E47B26"/>
    <w:rsid w:val="00E51F4E"/>
    <w:rsid w:val="00E53A5C"/>
    <w:rsid w:val="00E5565D"/>
    <w:rsid w:val="00E65132"/>
    <w:rsid w:val="00E7176E"/>
    <w:rsid w:val="00E73489"/>
    <w:rsid w:val="00E7691C"/>
    <w:rsid w:val="00E84649"/>
    <w:rsid w:val="00E879A8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273EB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306</cp:revision>
  <dcterms:created xsi:type="dcterms:W3CDTF">2019-10-16T10:03:00Z</dcterms:created>
  <dcterms:modified xsi:type="dcterms:W3CDTF">2020-06-03T09:42:00Z</dcterms:modified>
</cp:coreProperties>
</file>